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2600F">
      <w:pPr>
        <w:pStyle w:val="2"/>
        <w:spacing w:after="5" w:line="256" w:lineRule="auto"/>
        <w:ind w:right="245"/>
        <w:rPr>
          <w:rFonts w:hint="eastAsia"/>
          <w:color w:val="auto"/>
          <w:lang w:val="en-US" w:eastAsia="zh-CN"/>
        </w:rPr>
      </w:pPr>
      <w:r>
        <w:rPr>
          <w:rFonts w:hint="eastAsia"/>
          <w:u w:val="single"/>
          <w:lang w:val="en-US" w:eastAsia="zh-CN"/>
        </w:rPr>
        <w:t>设计研发中心图形工作站（2026）项目</w:t>
      </w:r>
      <w:r>
        <w:rPr>
          <w:rFonts w:hint="eastAsia"/>
          <w:color w:val="auto"/>
          <w:lang w:val="en-US" w:eastAsia="zh-CN"/>
        </w:rPr>
        <w:t xml:space="preserve">            </w:t>
      </w:r>
    </w:p>
    <w:p w14:paraId="6F698391">
      <w:pPr>
        <w:pStyle w:val="2"/>
        <w:spacing w:after="5" w:line="256" w:lineRule="auto"/>
        <w:ind w:right="245"/>
        <w:rPr>
          <w:color w:val="auto"/>
        </w:rPr>
      </w:pPr>
      <w:r>
        <w:rPr>
          <w:color w:val="auto"/>
        </w:rPr>
        <w:t>采购需求资料</w:t>
      </w:r>
    </w:p>
    <w:p w14:paraId="2766827F">
      <w:pPr>
        <w:widowControl/>
        <w:spacing w:line="264" w:lineRule="auto"/>
        <w:ind w:left="278" w:hanging="10"/>
        <w:jc w:val="left"/>
        <w:rPr>
          <w:rFonts w:hint="eastAsia" w:ascii="宋体" w:hAnsi="宋体" w:cs="宋体"/>
          <w:szCs w:val="22"/>
          <w:lang w:bidi="ar"/>
        </w:rPr>
      </w:pPr>
      <w:r>
        <w:rPr>
          <w:rFonts w:hint="eastAsia" w:ascii="宋体" w:hAnsi="宋体" w:cs="宋体"/>
          <w:szCs w:val="22"/>
          <w:lang w:bidi="ar"/>
        </w:rPr>
        <w:t>一、基本情况</w:t>
      </w:r>
    </w:p>
    <w:p w14:paraId="1EB4BF85">
      <w:pPr>
        <w:widowControl/>
        <w:spacing w:line="264" w:lineRule="auto"/>
        <w:ind w:left="278" w:hanging="10"/>
        <w:jc w:val="left"/>
        <w:rPr>
          <w:rFonts w:hint="eastAsia" w:ascii="宋体" w:hAnsi="宋体" w:cs="宋体"/>
          <w:szCs w:val="22"/>
          <w:lang w:bidi="ar"/>
        </w:rPr>
      </w:pPr>
      <w:r>
        <w:rPr>
          <w:rFonts w:hint="eastAsia" w:ascii="宋体" w:hAnsi="宋体" w:cs="宋体"/>
          <w:szCs w:val="22"/>
          <w:lang w:bidi="ar"/>
        </w:rPr>
        <w:t>1.1名称、规格型号及数量</w:t>
      </w:r>
    </w:p>
    <w:tbl>
      <w:tblPr>
        <w:tblStyle w:val="5"/>
        <w:tblW w:w="9238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867"/>
        <w:gridCol w:w="1031"/>
        <w:gridCol w:w="675"/>
        <w:gridCol w:w="769"/>
        <w:gridCol w:w="1837"/>
        <w:gridCol w:w="1415"/>
        <w:gridCol w:w="616"/>
      </w:tblGrid>
      <w:tr w14:paraId="5635D9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28" w:type="dxa"/>
            <w:tcBorders>
              <w:tl2br w:val="nil"/>
              <w:tr2bl w:val="nil"/>
            </w:tcBorders>
            <w:noWrap w:val="0"/>
            <w:vAlign w:val="center"/>
          </w:tcPr>
          <w:p w14:paraId="7023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noWrap w:val="0"/>
            <w:vAlign w:val="center"/>
          </w:tcPr>
          <w:p w14:paraId="6828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031" w:type="dxa"/>
            <w:tcBorders>
              <w:tl2br w:val="nil"/>
              <w:tr2bl w:val="nil"/>
            </w:tcBorders>
            <w:noWrap w:val="0"/>
            <w:vAlign w:val="center"/>
          </w:tcPr>
          <w:p w14:paraId="6BC1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 w14:paraId="14C4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7211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4702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交货期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noWrap w:val="0"/>
            <w:vAlign w:val="center"/>
          </w:tcPr>
          <w:p w14:paraId="1B43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 w14:paraId="055A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A7281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1028" w:type="dxa"/>
            <w:tcBorders>
              <w:tl2br w:val="nil"/>
              <w:tr2bl w:val="nil"/>
            </w:tcBorders>
            <w:noWrap w:val="0"/>
            <w:vAlign w:val="center"/>
          </w:tcPr>
          <w:p w14:paraId="0D8D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noWrap w:val="0"/>
            <w:vAlign w:val="center"/>
          </w:tcPr>
          <w:p w14:paraId="15DC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图形工作站</w:t>
            </w:r>
          </w:p>
        </w:tc>
        <w:tc>
          <w:tcPr>
            <w:tcW w:w="1031" w:type="dxa"/>
            <w:tcBorders>
              <w:tl2br w:val="nil"/>
              <w:tr2bl w:val="nil"/>
            </w:tcBorders>
            <w:noWrap w:val="0"/>
            <w:vAlign w:val="center"/>
          </w:tcPr>
          <w:p w14:paraId="6044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</w:t>
            </w:r>
          </w:p>
        </w:tc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 w14:paraId="4724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1565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7A28E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月31日前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noWrap w:val="0"/>
            <w:vAlign w:val="center"/>
          </w:tcPr>
          <w:p w14:paraId="2956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详见明细附表</w:t>
            </w:r>
          </w:p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 w14:paraId="6A11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</w:t>
            </w:r>
          </w:p>
        </w:tc>
      </w:tr>
    </w:tbl>
    <w:p w14:paraId="4FFCE94F">
      <w:pPr>
        <w:widowControl/>
        <w:spacing w:after="60" w:line="264" w:lineRule="auto"/>
        <w:ind w:left="278" w:hanging="10"/>
        <w:jc w:val="left"/>
        <w:rPr>
          <w:rFonts w:hint="eastAsia" w:ascii="宋体" w:hAnsi="宋体" w:cs="宋体"/>
          <w:szCs w:val="22"/>
          <w:lang w:bidi="ar"/>
        </w:rPr>
      </w:pPr>
    </w:p>
    <w:tbl>
      <w:tblPr>
        <w:tblStyle w:val="6"/>
        <w:tblW w:w="9284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8250"/>
      </w:tblGrid>
      <w:tr w14:paraId="5945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84" w:type="dxa"/>
            <w:gridSpan w:val="2"/>
          </w:tcPr>
          <w:p w14:paraId="29FE914B">
            <w:pPr>
              <w:jc w:val="center"/>
              <w:rPr>
                <w:rFonts w:hint="eastAsia" w:ascii="黑体" w:hAnsi="黑体" w:eastAsia="黑体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18"/>
                <w:szCs w:val="18"/>
                <w:lang w:eastAsia="zh-CN"/>
              </w:rPr>
              <w:t>明细附表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：</w:t>
            </w:r>
            <w:r>
              <w:rPr>
                <w:rFonts w:hint="eastAsia" w:ascii="黑体" w:hAnsi="黑体" w:eastAsia="黑体"/>
                <w:sz w:val="18"/>
                <w:szCs w:val="18"/>
                <w:lang w:eastAsia="zh-CN"/>
              </w:rPr>
              <w:t>图形工作站</w:t>
            </w:r>
          </w:p>
        </w:tc>
      </w:tr>
      <w:tr w14:paraId="0E024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shd w:val="clear" w:color="auto" w:fill="D8D8D8" w:themeFill="background1" w:themeFillShade="D9"/>
          </w:tcPr>
          <w:p w14:paraId="0E75AB2D">
            <w:pPr>
              <w:spacing w:line="276" w:lineRule="auto"/>
              <w:jc w:val="center"/>
              <w:rPr>
                <w:rFonts w:hint="eastAsia" w:ascii="黑体" w:hAnsi="黑体" w:eastAsia="黑体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18"/>
                <w:szCs w:val="18"/>
                <w:lang w:eastAsia="zh-CN"/>
              </w:rPr>
              <w:t>物资名称</w:t>
            </w:r>
          </w:p>
        </w:tc>
        <w:tc>
          <w:tcPr>
            <w:tcW w:w="8250" w:type="dxa"/>
            <w:shd w:val="clear" w:color="auto" w:fill="D8D8D8" w:themeFill="background1" w:themeFillShade="D9"/>
          </w:tcPr>
          <w:p w14:paraId="44645F6F">
            <w:pPr>
              <w:spacing w:line="276" w:lineRule="auto"/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技术规格要求</w:t>
            </w:r>
          </w:p>
        </w:tc>
      </w:tr>
      <w:tr w14:paraId="774F3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34" w:type="dxa"/>
            <w:vAlign w:val="center"/>
          </w:tcPr>
          <w:p w14:paraId="14F0A34B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结构</w:t>
            </w:r>
          </w:p>
        </w:tc>
        <w:tc>
          <w:tcPr>
            <w:tcW w:w="8250" w:type="dxa"/>
          </w:tcPr>
          <w:p w14:paraId="0D3407BC">
            <w:pPr>
              <w:spacing w:line="276" w:lineRule="auto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高性能并行计算图形，适配三维建模、仿真运算、影视渲染、大数据处理、CAD/BIM 专业设计等重载业务</w:t>
            </w:r>
          </w:p>
        </w:tc>
      </w:tr>
      <w:tr w14:paraId="23B2C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3E70759D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bookmarkStart w:id="0" w:name="_Hlk234576041"/>
            <w:r>
              <w:rPr>
                <w:rFonts w:hint="eastAsia" w:ascii="宋体" w:hAnsi="宋体" w:eastAsia="宋体" w:cs="宋体"/>
                <w:sz w:val="18"/>
                <w:szCs w:val="18"/>
              </w:rPr>
              <w:t>处理器</w:t>
            </w:r>
          </w:p>
        </w:tc>
        <w:tc>
          <w:tcPr>
            <w:tcW w:w="8250" w:type="dxa"/>
          </w:tcPr>
          <w:p w14:paraId="33C82A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配置要求：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 颗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≥AMD 锐龙 9 9980X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64 核 128 线程，SP6 处理器接口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；</w:t>
            </w:r>
          </w:p>
          <w:p w14:paraId="3BB7EC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运算性能：支持大规模多线程并行浮点运算，满足仿真渲染、海量数据实时计算等高负载需求；</w:t>
            </w:r>
          </w:p>
        </w:tc>
      </w:tr>
      <w:bookmarkEnd w:id="0"/>
      <w:tr w14:paraId="5D21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0D3368D0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内  存</w:t>
            </w:r>
          </w:p>
        </w:tc>
        <w:tc>
          <w:tcPr>
            <w:tcW w:w="8250" w:type="dxa"/>
          </w:tcPr>
          <w:p w14:paraId="0BF56D63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配置要求：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G DDR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-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00MHz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RECC</w:t>
            </w:r>
          </w:p>
          <w:p w14:paraId="339177B2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支持RDIMM、LRDIMM，支持最大容量≥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TB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技术规格：RECC 硬件纠错内存，具备 ECC 数据校验功能，重载运算杜绝内存数据出错、蓝屏</w:t>
            </w:r>
          </w:p>
        </w:tc>
      </w:tr>
      <w:tr w14:paraId="4E20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1FF789EB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存储</w:t>
            </w:r>
          </w:p>
        </w:tc>
        <w:tc>
          <w:tcPr>
            <w:tcW w:w="8250" w:type="dxa"/>
          </w:tcPr>
          <w:p w14:paraId="41E0FA24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 xml:space="preserve">配置要求: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2块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2TBM.2 NVMe PCIe 5.0 高速协议，</w:t>
            </w:r>
          </w:p>
          <w:p w14:paraId="187532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性能指标：PCIe5.0 满带宽读写速度，超低访问延迟，支持大型工程文件、高清素材实时加载预览；</w:t>
            </w:r>
          </w:p>
          <w:p w14:paraId="6EC391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介质特性：原厂原厂存储颗粒，具备企业级耐用寿命，内置断电数据保护机制</w:t>
            </w:r>
          </w:p>
          <w:p w14:paraId="04037452">
            <w:pPr>
              <w:spacing w:line="276" w:lineRule="auto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配置要求: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块18TB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企业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SATA  III 6Gb/s，7200 转 / 分钟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512MB 大容量高速缓存</w:t>
            </w:r>
          </w:p>
          <w:p w14:paraId="572C78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盘片技术：CMR 垂直磁记录技术，无叠瓦式结构，持续读写不掉速；</w:t>
            </w:r>
          </w:p>
          <w:p w14:paraId="60DC89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运行标准：企业级 7×24 小时不间断运行设计，具备抗震动、长使用寿命特性，适用于工程素材、项目文件长期存储备份</w:t>
            </w:r>
          </w:p>
        </w:tc>
      </w:tr>
      <w:tr w14:paraId="545F2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267E934B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专业图形显卡</w:t>
            </w:r>
          </w:p>
        </w:tc>
        <w:tc>
          <w:tcPr>
            <w:tcW w:w="8250" w:type="dxa"/>
          </w:tcPr>
          <w:p w14:paraId="3812C8DD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配置要求：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1块 RTXA4000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16GB GDDR6 专用图形显存</w:t>
            </w:r>
          </w:p>
          <w:p w14:paraId="33A646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定位：工业级专业制图显卡，全系列 CAD、三维建模、影视剪辑、仿真计算软件官方驱动认证兼容；</w:t>
            </w:r>
          </w:p>
          <w:p w14:paraId="7E1D30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输出能力：多通道高清视频输出接口，支持多显示器拼接、分屏显示；</w:t>
            </w:r>
          </w:p>
          <w:p w14:paraId="224EAD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运算特性：支持光线追踪、CUDA 并行加速、专业渲染核心，适配设计类专业软件加速运算</w:t>
            </w:r>
          </w:p>
        </w:tc>
      </w:tr>
      <w:tr w14:paraId="449E5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02F1D908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主板</w:t>
            </w:r>
          </w:p>
        </w:tc>
        <w:tc>
          <w:tcPr>
            <w:tcW w:w="8250" w:type="dxa"/>
          </w:tcPr>
          <w:p w14:paraId="0EEEC1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配置要求：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  <w:t>配置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WS TRX50-SAGE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H13SRA-TF，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芯片组：专业服务器级芯片组，原生适配 SP6 接口 64 核处理器；</w:t>
            </w:r>
          </w:p>
          <w:p w14:paraId="2EDDC2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内存拓展能力：支持 8 通道 DDR5 内存，原生兼容 RECC 纠错服务器内存，支持内存硬件 ECC 校验；</w:t>
            </w:r>
          </w:p>
          <w:p w14:paraId="51D46D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高速扩展通道：配备多通道 PCIe 5.0 x16 显卡插槽，原生搭载 PCIe 5.0 协议 M.2 高速存储接口；</w:t>
            </w:r>
          </w:p>
          <w:p w14:paraId="21B030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网络通讯：板载千兆高速有线网络模块，集成无线 WIFI 传输模块；</w:t>
            </w:r>
          </w:p>
          <w:p w14:paraId="365ADE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供电设计：多相数字稳压供电方案，可稳定支撑 64 核处理器满载持续输出；</w:t>
            </w:r>
          </w:p>
          <w:p w14:paraId="1B075F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外设接口：后置多组 USB 高速接口、视频输出接口、音频接口、SATA 存储接口，前置拓展接口齐全</w:t>
            </w:r>
          </w:p>
        </w:tc>
      </w:tr>
      <w:tr w14:paraId="3EE21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6AD70357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电  源</w:t>
            </w:r>
          </w:p>
        </w:tc>
        <w:tc>
          <w:tcPr>
            <w:tcW w:w="8250" w:type="dxa"/>
          </w:tcPr>
          <w:p w14:paraId="2BD5AFD3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配置要求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个额定 3000W 足额输出，非峰值功率，全模组服务器电源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通过80plus铂金认证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满足 64 核 CPU + 专业显卡 + 多硬盘满载整机功耗冗余，预留硬件升级功率空间</w:t>
            </w:r>
          </w:p>
        </w:tc>
      </w:tr>
      <w:tr w14:paraId="33842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4" w:type="dxa"/>
            <w:vAlign w:val="center"/>
          </w:tcPr>
          <w:p w14:paraId="22E7AC46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机箱</w:t>
            </w:r>
          </w:p>
        </w:tc>
        <w:tc>
          <w:tcPr>
            <w:tcW w:w="8250" w:type="dxa"/>
            <w:vAlign w:val="center"/>
          </w:tcPr>
          <w:p w14:paraId="6D7E5ADC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配置要求：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全塔立式机箱，支持 360mm 水冷冷排安装，多硬盘位拓展</w:t>
            </w:r>
          </w:p>
        </w:tc>
      </w:tr>
      <w:tr w14:paraId="2CED6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5DA4BC2A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风  扇</w:t>
            </w:r>
          </w:p>
        </w:tc>
        <w:tc>
          <w:tcPr>
            <w:tcW w:w="8250" w:type="dxa"/>
            <w:vAlign w:val="center"/>
          </w:tcPr>
          <w:p w14:paraId="72619B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配置要求：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专用 SP6 水冷扣具，完美适配 AMD 9980X 处理器</w:t>
            </w:r>
          </w:p>
          <w:p w14:paraId="0B49C7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规格：360mm 冷排，双路水冷循环，搭配 LCP 高分子静音风压风扇</w:t>
            </w:r>
          </w:p>
          <w:p w14:paraId="035E67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性能：可压制 64 核处理器满载发热，长时间高负载运行温度稳定，低噪音运行</w:t>
            </w:r>
          </w:p>
        </w:tc>
      </w:tr>
      <w:tr w14:paraId="4AD8D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0E7C6FD9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键盘、鼠标</w:t>
            </w:r>
          </w:p>
        </w:tc>
        <w:tc>
          <w:tcPr>
            <w:tcW w:w="8250" w:type="dxa"/>
          </w:tcPr>
          <w:p w14:paraId="11439B85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原厂防水键盘、抗菌鼠标；</w:t>
            </w:r>
          </w:p>
        </w:tc>
      </w:tr>
      <w:tr w14:paraId="27F3B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39969BE1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操作系统</w:t>
            </w:r>
          </w:p>
        </w:tc>
        <w:tc>
          <w:tcPr>
            <w:tcW w:w="8250" w:type="dxa"/>
          </w:tcPr>
          <w:p w14:paraId="5866AD9B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随机预装专业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服务器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操作系统，预适配全套硬件官方稳定驱动，设备到货即可投入专业业务使用；；</w:t>
            </w:r>
          </w:p>
        </w:tc>
      </w:tr>
      <w:tr w14:paraId="5C8C7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3F55FC3B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硬件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售后服务</w:t>
            </w:r>
          </w:p>
        </w:tc>
        <w:tc>
          <w:tcPr>
            <w:tcW w:w="8250" w:type="dxa"/>
          </w:tcPr>
          <w:p w14:paraId="277B0DFE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 提供原厂整机3年质保，3年原厂免费上门服务，要求当日下午4点前报修，下一自然日24点前修复，若没有完成修复，则免费赠送延迟日数对应的月度延保服务。</w:t>
            </w:r>
          </w:p>
          <w:p w14:paraId="3BC8BE3E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 全部硬件全新原厂正品，无翻新、拆机、工包二手件，供货提供完整硬件序列号、原厂质保凭证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交货后可凭机器序列号在厂家400/800售后服务电话进行查询，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假一罚十。</w:t>
            </w:r>
          </w:p>
          <w:p w14:paraId="3356269B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 设备质保期内如硬盘损坏，厂家提供替换硬件时，硬盘不与返还。</w:t>
            </w:r>
          </w:p>
        </w:tc>
      </w:tr>
    </w:tbl>
    <w:p w14:paraId="5783E8ED">
      <w:pPr>
        <w:widowControl/>
        <w:spacing w:after="60" w:line="264" w:lineRule="auto"/>
        <w:ind w:left="278" w:hanging="10"/>
        <w:jc w:val="left"/>
      </w:pPr>
      <w:r>
        <w:rPr>
          <w:rFonts w:hint="eastAsia" w:ascii="宋体" w:hAnsi="宋体" w:cs="宋体"/>
          <w:szCs w:val="22"/>
          <w:lang w:bidi="ar"/>
        </w:rPr>
        <w:t>注: 本项目谈判为</w:t>
      </w:r>
      <w:r>
        <w:rPr>
          <w:rFonts w:hint="eastAsia" w:ascii="宋体" w:hAnsi="宋体" w:cs="宋体"/>
          <w:szCs w:val="22"/>
          <w:lang w:val="en-US" w:eastAsia="zh-CN" w:bidi="ar"/>
        </w:rPr>
        <w:t>总价</w:t>
      </w:r>
      <w:r>
        <w:rPr>
          <w:rFonts w:hint="eastAsia" w:ascii="宋体" w:hAnsi="宋体" w:cs="宋体"/>
          <w:szCs w:val="22"/>
          <w:lang w:bidi="ar"/>
        </w:rPr>
        <w:t>价格</w:t>
      </w:r>
      <w:r>
        <w:rPr>
          <w:rFonts w:hint="eastAsia" w:ascii="宋体" w:hAnsi="宋体" w:cs="宋体"/>
          <w:szCs w:val="22"/>
          <w:lang w:val="en-US" w:eastAsia="zh-CN" w:bidi="ar"/>
        </w:rPr>
        <w:t>整体谈判</w:t>
      </w:r>
      <w:r>
        <w:rPr>
          <w:rFonts w:hint="eastAsia" w:ascii="宋体" w:hAnsi="宋体" w:cs="宋体"/>
          <w:szCs w:val="22"/>
          <w:lang w:bidi="ar"/>
        </w:rPr>
        <w:t>，</w:t>
      </w:r>
      <w:r>
        <w:rPr>
          <w:rFonts w:hint="eastAsia" w:ascii="宋体" w:hAnsi="宋体" w:cs="宋体"/>
          <w:szCs w:val="22"/>
          <w:lang w:val="en-US" w:eastAsia="zh-CN" w:bidi="ar"/>
        </w:rPr>
        <w:t>不以单价为考虑，但需保证各子项满足数量及技术要求</w:t>
      </w:r>
      <w:r>
        <w:rPr>
          <w:rFonts w:hint="eastAsia" w:ascii="宋体" w:hAnsi="宋体" w:cs="宋体"/>
          <w:szCs w:val="22"/>
          <w:lang w:bidi="ar"/>
        </w:rPr>
        <w:t>。</w:t>
      </w:r>
    </w:p>
    <w:p w14:paraId="0ED43CF5">
      <w:pPr>
        <w:spacing w:line="360" w:lineRule="auto"/>
        <w:ind w:firstLine="210" w:firstLineChars="100"/>
        <w:rPr>
          <w:rFonts w:hint="eastAsia" w:ascii="宋体" w:hAnsi="宋体" w:eastAsia="宋体" w:cs="宋体"/>
          <w:szCs w:val="22"/>
          <w:lang w:val="en-US" w:eastAsia="zh-CN" w:bidi="ar"/>
        </w:rPr>
      </w:pPr>
      <w:r>
        <w:rPr>
          <w:rFonts w:hint="eastAsia" w:ascii="宋体" w:hAnsi="宋体" w:cs="宋体"/>
          <w:szCs w:val="22"/>
          <w:lang w:bidi="ar"/>
        </w:rPr>
        <w:t>1.</w:t>
      </w:r>
      <w:r>
        <w:rPr>
          <w:rFonts w:hint="eastAsia" w:ascii="宋体" w:hAnsi="宋体" w:cs="宋体"/>
          <w:szCs w:val="22"/>
          <w:lang w:val="en-US" w:eastAsia="zh-CN" w:bidi="ar"/>
        </w:rPr>
        <w:t>2</w:t>
      </w:r>
      <w:r>
        <w:rPr>
          <w:rFonts w:hint="eastAsia" w:ascii="宋体" w:hAnsi="宋体" w:cs="宋体"/>
          <w:szCs w:val="22"/>
          <w:lang w:bidi="ar"/>
        </w:rPr>
        <w:t>供应商资质要求：</w:t>
      </w:r>
      <w:r>
        <w:rPr>
          <w:rFonts w:hint="eastAsia" w:ascii="宋体" w:hAnsi="宋体" w:cs="宋体"/>
          <w:szCs w:val="22"/>
          <w:lang w:val="en-US" w:eastAsia="zh-CN" w:bidi="ar"/>
        </w:rPr>
        <w:t>1、供应商须具有独立法人资格，并依法取得有效的营业执照（三证合一）；2、供应商诚信可靠，征信信誉良好，近一年内无不良征信记录；3、具有类似产品业绩；4、提供履约承诺函。</w:t>
      </w:r>
    </w:p>
    <w:p w14:paraId="1CFD644B">
      <w:pPr>
        <w:widowControl/>
        <w:spacing w:after="60" w:line="264" w:lineRule="auto"/>
        <w:ind w:left="278" w:hanging="10"/>
        <w:jc w:val="left"/>
      </w:pPr>
      <w:r>
        <w:rPr>
          <w:rFonts w:hint="eastAsia" w:ascii="宋体" w:hAnsi="宋体" w:cs="宋体"/>
          <w:szCs w:val="22"/>
          <w:lang w:bidi="ar"/>
        </w:rPr>
        <w:t>1.</w:t>
      </w:r>
      <w:r>
        <w:rPr>
          <w:rFonts w:hint="eastAsia" w:ascii="宋体" w:hAnsi="宋体" w:cs="宋体"/>
          <w:szCs w:val="22"/>
          <w:lang w:val="en-US" w:eastAsia="zh-CN" w:bidi="ar"/>
        </w:rPr>
        <w:t>3</w:t>
      </w:r>
      <w:r>
        <w:rPr>
          <w:rFonts w:hint="eastAsia" w:ascii="宋体" w:hAnsi="宋体" w:cs="宋体"/>
          <w:szCs w:val="22"/>
          <w:lang w:bidi="ar"/>
        </w:rPr>
        <w:t>项目资金来源：</w:t>
      </w:r>
      <w:r>
        <w:rPr>
          <w:rFonts w:hint="eastAsia" w:ascii="宋体" w:hAnsi="宋体" w:cs="宋体"/>
          <w:szCs w:val="22"/>
          <w:lang w:val="en-US" w:eastAsia="zh-CN" w:bidi="ar"/>
        </w:rPr>
        <w:t>自筹</w:t>
      </w:r>
      <w:r>
        <w:rPr>
          <w:rFonts w:hint="eastAsia" w:ascii="宋体" w:hAnsi="宋体" w:cs="宋体"/>
          <w:szCs w:val="22"/>
          <w:lang w:bidi="ar"/>
        </w:rPr>
        <w:t>资金</w:t>
      </w:r>
    </w:p>
    <w:p w14:paraId="4B51046E">
      <w:pPr>
        <w:widowControl/>
        <w:spacing w:after="60" w:line="264" w:lineRule="auto"/>
        <w:ind w:left="278" w:hanging="10"/>
        <w:jc w:val="left"/>
        <w:rPr>
          <w:rFonts w:hint="eastAsia" w:ascii="宋体" w:hAnsi="宋体" w:cs="宋体"/>
          <w:szCs w:val="22"/>
          <w:lang w:bidi="ar"/>
        </w:rPr>
      </w:pPr>
      <w:r>
        <w:rPr>
          <w:rFonts w:hint="eastAsia" w:ascii="宋体" w:hAnsi="宋体" w:cs="宋体"/>
          <w:szCs w:val="22"/>
          <w:lang w:bidi="ar"/>
        </w:rPr>
        <w:t>1.</w:t>
      </w:r>
      <w:r>
        <w:rPr>
          <w:rFonts w:hint="eastAsia" w:ascii="宋体" w:hAnsi="宋体" w:cs="宋体"/>
          <w:szCs w:val="22"/>
          <w:lang w:val="en-US" w:eastAsia="zh-CN" w:bidi="ar"/>
        </w:rPr>
        <w:t>4</w:t>
      </w:r>
      <w:r>
        <w:rPr>
          <w:rFonts w:hint="eastAsia" w:ascii="宋体" w:hAnsi="宋体" w:cs="宋体"/>
          <w:szCs w:val="22"/>
          <w:lang w:bidi="ar"/>
        </w:rPr>
        <w:t>需要供应商数量：1家</w:t>
      </w:r>
    </w:p>
    <w:p w14:paraId="54CA50BF">
      <w:pPr>
        <w:widowControl/>
        <w:spacing w:after="60" w:line="264" w:lineRule="auto"/>
        <w:ind w:left="278" w:hanging="10"/>
        <w:jc w:val="left"/>
        <w:rPr>
          <w:rFonts w:hint="eastAsia" w:ascii="宋体" w:hAnsi="宋体" w:cs="宋体"/>
          <w:szCs w:val="22"/>
          <w:lang w:bidi="ar"/>
        </w:rPr>
      </w:pPr>
      <w:r>
        <w:rPr>
          <w:rFonts w:hint="eastAsia" w:ascii="宋体" w:hAnsi="宋体" w:cs="宋体"/>
          <w:szCs w:val="22"/>
          <w:lang w:bidi="ar"/>
        </w:rPr>
        <w:t>1.</w:t>
      </w:r>
      <w:r>
        <w:rPr>
          <w:rFonts w:hint="eastAsia" w:ascii="宋体" w:hAnsi="宋体" w:cs="宋体"/>
          <w:szCs w:val="22"/>
          <w:lang w:val="en-US" w:eastAsia="zh-CN" w:bidi="ar"/>
        </w:rPr>
        <w:t>5</w:t>
      </w:r>
      <w:r>
        <w:rPr>
          <w:rFonts w:hint="eastAsia" w:ascii="宋体" w:hAnsi="宋体" w:cs="宋体"/>
          <w:szCs w:val="22"/>
          <w:lang w:bidi="ar"/>
        </w:rPr>
        <w:t>结算付款方式：</w:t>
      </w:r>
    </w:p>
    <w:p w14:paraId="6F99DE7E">
      <w:pPr>
        <w:widowControl/>
        <w:spacing w:after="60" w:line="264" w:lineRule="auto"/>
        <w:ind w:left="278" w:hanging="10"/>
        <w:jc w:val="left"/>
        <w:rPr>
          <w:rFonts w:hint="eastAsia" w:ascii="宋体" w:hAnsi="宋体" w:cs="宋体"/>
          <w:szCs w:val="22"/>
          <w:lang w:val="en-US" w:eastAsia="zh-CN" w:bidi="ar"/>
        </w:rPr>
      </w:pPr>
      <w:r>
        <w:rPr>
          <w:rFonts w:hint="eastAsia" w:ascii="宋体" w:hAnsi="宋体" w:cs="宋体"/>
          <w:szCs w:val="22"/>
          <w:lang w:val="en-US" w:eastAsia="zh-CN" w:bidi="ar"/>
        </w:rPr>
        <w:t>1.5.1中企云链，货到付款，次月支付95%，质保金5&amp;，</w:t>
      </w:r>
      <w:bookmarkStart w:id="1" w:name="_GoBack"/>
      <w:bookmarkEnd w:id="1"/>
      <w:r>
        <w:rPr>
          <w:rFonts w:hint="eastAsia" w:ascii="宋体" w:hAnsi="宋体" w:cs="宋体"/>
          <w:szCs w:val="22"/>
          <w:lang w:val="en-US" w:eastAsia="zh-CN" w:bidi="ar"/>
        </w:rPr>
        <w:t>质保期三年。</w:t>
      </w:r>
    </w:p>
    <w:p w14:paraId="6247ED55">
      <w:pPr>
        <w:widowControl/>
        <w:numPr>
          <w:ilvl w:val="0"/>
          <w:numId w:val="1"/>
        </w:numPr>
        <w:spacing w:after="60" w:line="264" w:lineRule="auto"/>
        <w:ind w:left="278" w:hanging="10"/>
        <w:jc w:val="left"/>
        <w:rPr>
          <w:rFonts w:hint="eastAsia" w:ascii="宋体" w:hAnsi="宋体" w:cs="宋体"/>
          <w:szCs w:val="22"/>
          <w:lang w:bidi="ar"/>
        </w:rPr>
      </w:pPr>
      <w:r>
        <w:rPr>
          <w:rFonts w:hint="eastAsia" w:ascii="宋体" w:hAnsi="宋体" w:cs="宋体"/>
          <w:szCs w:val="22"/>
          <w:lang w:bidi="ar"/>
        </w:rPr>
        <w:t>其它要求</w:t>
      </w:r>
    </w:p>
    <w:p w14:paraId="38D87A70">
      <w:pPr>
        <w:widowControl/>
        <w:textAlignment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2.1确保2026年图形工作站费用符合相关政策法规。</w:t>
      </w:r>
    </w:p>
    <w:p w14:paraId="3D29A2BE">
      <w:pPr>
        <w:widowControl/>
        <w:ind w:firstLine="210" w:firstLineChars="100"/>
        <w:textAlignment w:val="center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2.2确保2026年图形工作站备查资料通过主管部门审查。</w:t>
      </w:r>
    </w:p>
    <w:p w14:paraId="43042AB3">
      <w:pPr>
        <w:widowControl/>
        <w:numPr>
          <w:ilvl w:val="0"/>
          <w:numId w:val="1"/>
        </w:numPr>
        <w:spacing w:after="60" w:line="264" w:lineRule="auto"/>
        <w:ind w:left="278" w:hanging="10"/>
        <w:jc w:val="left"/>
        <w:rPr>
          <w:rFonts w:hint="eastAsia" w:ascii="宋体" w:hAnsi="宋体" w:cs="宋体"/>
          <w:szCs w:val="22"/>
          <w:lang w:bidi="ar"/>
        </w:rPr>
      </w:pPr>
      <w:r>
        <w:rPr>
          <w:rFonts w:hint="eastAsia" w:ascii="宋体" w:hAnsi="宋体" w:cs="宋体"/>
          <w:szCs w:val="22"/>
          <w:lang w:bidi="ar"/>
        </w:rPr>
        <w:t>附件资料（如立项通知书、专项报告等相关手续）</w:t>
      </w:r>
    </w:p>
    <w:p w14:paraId="1A6E0DEB">
      <w:pPr>
        <w:widowControl/>
        <w:spacing w:after="60" w:line="264" w:lineRule="auto"/>
        <w:jc w:val="left"/>
        <w:rPr>
          <w:rFonts w:hint="eastAsia" w:ascii="宋体" w:hAnsi="宋体" w:cs="宋体"/>
          <w:szCs w:val="22"/>
          <w:lang w:val="en-US" w:eastAsia="zh-CN" w:bidi="ar"/>
        </w:rPr>
      </w:pPr>
      <w:r>
        <w:rPr>
          <w:rFonts w:hint="eastAsia" w:ascii="宋体" w:hAnsi="宋体" w:cs="宋体"/>
          <w:szCs w:val="22"/>
          <w:lang w:val="en-US" w:eastAsia="zh-CN" w:bidi="ar"/>
        </w:rPr>
        <w:t>《长沙湘电电气总办阅〔2026〕24号--总经理办公会议纪要》</w:t>
      </w:r>
    </w:p>
    <w:p w14:paraId="36C66862">
      <w:pPr>
        <w:widowControl/>
        <w:spacing w:after="60" w:line="264" w:lineRule="auto"/>
        <w:ind w:firstLine="420" w:firstLineChars="200"/>
        <w:jc w:val="left"/>
        <w:rPr>
          <w:rFonts w:hint="eastAsia" w:ascii="宋体" w:hAnsi="宋体" w:cs="宋体"/>
          <w:szCs w:val="22"/>
          <w:lang w:val="en-US" w:eastAsia="zh-CN" w:bidi="ar"/>
        </w:rPr>
      </w:pPr>
    </w:p>
    <w:p w14:paraId="43AAC7D2">
      <w:pPr>
        <w:widowControl/>
        <w:spacing w:after="60" w:line="264" w:lineRule="auto"/>
        <w:jc w:val="left"/>
        <w:rPr>
          <w:rFonts w:hint="eastAsia" w:ascii="宋体" w:hAnsi="宋体" w:cs="宋体"/>
          <w:szCs w:val="22"/>
          <w:lang w:bidi="ar"/>
        </w:rPr>
      </w:pPr>
      <w:r>
        <w:rPr>
          <w:rFonts w:hint="eastAsia" w:ascii="宋体" w:hAnsi="宋体" w:cs="宋体"/>
          <w:szCs w:val="22"/>
          <w:lang w:bidi="ar"/>
        </w:rPr>
        <w:t>批准（单位公章）：</w:t>
      </w:r>
      <w:r>
        <w:rPr>
          <w:rFonts w:hint="eastAsia" w:ascii="宋体" w:hAnsi="宋体" w:cs="宋体"/>
          <w:szCs w:val="22"/>
          <w:lang w:bidi="ar"/>
        </w:rPr>
        <w:tab/>
      </w:r>
      <w:r>
        <w:rPr>
          <w:rFonts w:hint="eastAsia" w:ascii="宋体" w:hAnsi="宋体" w:cs="宋体"/>
          <w:szCs w:val="22"/>
          <w:lang w:bidi="ar"/>
        </w:rPr>
        <w:t xml:space="preserve">                   审核：</w:t>
      </w:r>
      <w:r>
        <w:rPr>
          <w:rFonts w:hint="eastAsia" w:ascii="宋体" w:hAnsi="宋体" w:cs="宋体"/>
          <w:szCs w:val="22"/>
          <w:lang w:bidi="ar"/>
        </w:rPr>
        <w:tab/>
      </w:r>
      <w:r>
        <w:rPr>
          <w:rFonts w:hint="eastAsia" w:ascii="宋体" w:hAnsi="宋体" w:cs="宋体"/>
          <w:szCs w:val="22"/>
          <w:lang w:bidi="ar"/>
        </w:rPr>
        <w:t xml:space="preserve">      </w:t>
      </w:r>
      <w:r>
        <w:rPr>
          <w:rFonts w:hint="eastAsia" w:ascii="宋体" w:hAnsi="宋体" w:cs="宋体"/>
          <w:szCs w:val="22"/>
          <w:lang w:val="en-US" w:eastAsia="zh-CN" w:bidi="ar"/>
        </w:rPr>
        <w:t xml:space="preserve"> </w:t>
      </w:r>
      <w:r>
        <w:rPr>
          <w:rFonts w:hint="eastAsia" w:ascii="宋体" w:hAnsi="宋体" w:cs="宋体"/>
          <w:szCs w:val="22"/>
          <w:lang w:bidi="ar"/>
        </w:rPr>
        <w:t xml:space="preserve">           编制：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FDC402"/>
    <w:multiLevelType w:val="singleLevel"/>
    <w:tmpl w:val="5CFDC402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5ZjRiZGFjYTcxNzA1ODAyOTc1NmFlZmRiODc5MzcifQ=="/>
    <w:docVar w:name="KSO_WPS_MARK_KEY" w:val="e1dbe0ed-8da5-4701-8fdb-9fb86d434fa4"/>
  </w:docVars>
  <w:rsids>
    <w:rsidRoot w:val="00A276D6"/>
    <w:rsid w:val="00023779"/>
    <w:rsid w:val="00051212"/>
    <w:rsid w:val="00137AC9"/>
    <w:rsid w:val="00177E72"/>
    <w:rsid w:val="0022165B"/>
    <w:rsid w:val="002922CC"/>
    <w:rsid w:val="003C6C4F"/>
    <w:rsid w:val="003C787A"/>
    <w:rsid w:val="006574BD"/>
    <w:rsid w:val="008A3E4E"/>
    <w:rsid w:val="00A23030"/>
    <w:rsid w:val="00A276D6"/>
    <w:rsid w:val="00C7768E"/>
    <w:rsid w:val="00F15EEF"/>
    <w:rsid w:val="00F32375"/>
    <w:rsid w:val="01B15962"/>
    <w:rsid w:val="05D30AB3"/>
    <w:rsid w:val="06DF3562"/>
    <w:rsid w:val="0BA26B31"/>
    <w:rsid w:val="0F8C278D"/>
    <w:rsid w:val="102952E1"/>
    <w:rsid w:val="13203999"/>
    <w:rsid w:val="13F47AAF"/>
    <w:rsid w:val="143D03BC"/>
    <w:rsid w:val="16BF1D16"/>
    <w:rsid w:val="19C274B2"/>
    <w:rsid w:val="1CCD6FDD"/>
    <w:rsid w:val="20301342"/>
    <w:rsid w:val="21971054"/>
    <w:rsid w:val="21A53B10"/>
    <w:rsid w:val="29017BD5"/>
    <w:rsid w:val="2CA31239"/>
    <w:rsid w:val="2E0F73E8"/>
    <w:rsid w:val="3AA7302A"/>
    <w:rsid w:val="3C190899"/>
    <w:rsid w:val="3C657F31"/>
    <w:rsid w:val="3D825285"/>
    <w:rsid w:val="43741973"/>
    <w:rsid w:val="46FB381A"/>
    <w:rsid w:val="47DF3585"/>
    <w:rsid w:val="4D303688"/>
    <w:rsid w:val="4D4945D8"/>
    <w:rsid w:val="4DCD1A60"/>
    <w:rsid w:val="528E31D8"/>
    <w:rsid w:val="538809D6"/>
    <w:rsid w:val="543110EE"/>
    <w:rsid w:val="55056535"/>
    <w:rsid w:val="55760AE5"/>
    <w:rsid w:val="5EC869B0"/>
    <w:rsid w:val="658856FF"/>
    <w:rsid w:val="66D11DEE"/>
    <w:rsid w:val="6981591D"/>
    <w:rsid w:val="6EC53981"/>
    <w:rsid w:val="70FC166F"/>
    <w:rsid w:val="71682BF3"/>
    <w:rsid w:val="71FE0E0E"/>
    <w:rsid w:val="73133CE6"/>
    <w:rsid w:val="733A0D7D"/>
    <w:rsid w:val="7A1E5576"/>
    <w:rsid w:val="7B314D34"/>
    <w:rsid w:val="7B431420"/>
    <w:rsid w:val="7B7D06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suppressLineNumbers w:val="0"/>
      <w:spacing w:before="0" w:beforeAutospacing="0" w:after="10" w:afterAutospacing="0" w:line="264" w:lineRule="auto"/>
      <w:ind w:left="10" w:right="161" w:hanging="10"/>
      <w:jc w:val="center"/>
      <w:outlineLvl w:val="0"/>
    </w:pPr>
    <w:rPr>
      <w:rFonts w:hint="eastAsia" w:ascii="微软雅黑" w:hAnsi="微软雅黑" w:eastAsia="微软雅黑"/>
      <w:color w:val="000000"/>
      <w:kern w:val="0"/>
      <w:sz w:val="44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1622</Words>
  <Characters>1868</Characters>
  <Lines>8</Lines>
  <Paragraphs>2</Paragraphs>
  <TotalTime>3</TotalTime>
  <ScaleCrop>false</ScaleCrop>
  <LinksUpToDate>false</LinksUpToDate>
  <CharactersWithSpaces>2021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YT♥</cp:lastModifiedBy>
  <cp:lastPrinted>2025-09-18T01:24:00Z</cp:lastPrinted>
  <dcterms:modified xsi:type="dcterms:W3CDTF">2026-08-20T07:14:01Z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94F7D13A78FB4FEEB6B5E41BCDB08639_13</vt:lpwstr>
  </property>
  <property fmtid="{D5CDD505-2E9C-101B-9397-08002B2CF9AE}" pid="4" name="KSOTemplateDocerSaveRecord">
    <vt:lpwstr>eyJoZGlkIjoiMWQyMDQwNjc0MDIzYmVmMWIzN2ZkMTE3MTlkNjEwNGEiLCJ1c2VySWQiOiIzODk1NDUzMjEifQ==</vt:lpwstr>
  </property>
</Properties>
</file>